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4C" w:rsidRDefault="0041544C" w:rsidP="0041544C">
      <w:pPr>
        <w:jc w:val="right"/>
      </w:pPr>
      <w:r>
        <w:t>8.pielikums</w:t>
      </w:r>
    </w:p>
    <w:p w:rsidR="0041544C" w:rsidRPr="009C7F73" w:rsidRDefault="0041544C" w:rsidP="0041544C">
      <w:pPr>
        <w:jc w:val="center"/>
        <w:rPr>
          <w:b/>
        </w:rPr>
      </w:pPr>
    </w:p>
    <w:p w:rsidR="0041544C" w:rsidRPr="009C7F73" w:rsidRDefault="0041544C" w:rsidP="0041544C">
      <w:pPr>
        <w:jc w:val="center"/>
        <w:rPr>
          <w:b/>
        </w:rPr>
      </w:pPr>
      <w:r w:rsidRPr="009C7F73">
        <w:rPr>
          <w:b/>
        </w:rPr>
        <w:t>TEHNISKĀ SPECIFIKĀCIJA/TEHNISKAIS PIEDĀVĀJUMS</w:t>
      </w:r>
    </w:p>
    <w:p w:rsidR="0041544C" w:rsidRDefault="0041544C" w:rsidP="0041544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4379"/>
        <w:gridCol w:w="3402"/>
      </w:tblGrid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Nr.p.k.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Tehniskās prasības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>
            <w:r>
              <w:t>Pretendenta piedāvājums</w:t>
            </w:r>
          </w:p>
        </w:tc>
      </w:tr>
      <w:tr w:rsidR="0041544C" w:rsidTr="00635730">
        <w:tc>
          <w:tcPr>
            <w:tcW w:w="6062" w:type="dxa"/>
            <w:gridSpan w:val="2"/>
            <w:shd w:val="clear" w:color="auto" w:fill="auto"/>
          </w:tcPr>
          <w:p w:rsidR="0041544C" w:rsidRDefault="0041544C" w:rsidP="00635730">
            <w:r>
              <w:t>Universālā pašgājējmašīna (ne vecāka par 2018.gadu)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1.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Ražotājs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2.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Modelis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3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Dzinējs: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3.1.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Atbilstošs ES prasībām un spēkā esošām atgāzu normām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3.2.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Dzinēja jaudai jābūt ne mazākai kā 105 ZS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3.3.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Dzinēja griezes moments ne mazāk kā 500 Nm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3.4.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Dzinēja darba tilpumam jābūt ne mazākam kā 4.4 litri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3.5.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Automātiska tukšgaitas apgriezienu pazemināšana  (auto idle)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3.6.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Dzinējs nav aprīkots ar DPF – kvēpu filtru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4.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Stūrēšana: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4.1.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Visu riteņu stūrēšana, visu riteņu piedziņa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4.2.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Riteņu izmērs ne mazāks kā 440/80R28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4.3.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Ne mazāk kā trīs stūrēšanas režīmi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4.4.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Priekšējo un aizmugures riteņu nosedzoši dubļu sargi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5.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Hidraulikas sistēma: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5.1.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Virzuļa (plunžera) sūknis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5.2.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Hidrauliskā sūkņa maksimālā ražība ne mazāka kā 165 l/min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5.3.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Hidrauliskās sistēmas spiediens ne mazāk kā 250 bar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6.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Transmisija: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6.1.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Automātiskā ātrumkārba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6.2.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Ne mazāk kā 6 pārnesumi turpgaitā un vismaz 4 atpakaļgaitā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6.3.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Diferencāļa bloķēšanas sistēma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6.4.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Ātruma uzturēšanas funkcija – kruīza kontrole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7.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Frontālais iekrāvējs: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7.1.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Atverams kauss ar nazi, kausa tilpums ne mazāks kā 1.1 m3 ar palešu dakšām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7.2.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Kausa tapas augstums ne mazāk kā 3.4 m no zemes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7.3.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Pacelšanas svars maksimālajā augstumā ne mazāk kā 4300 kg.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7.4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Kausa amortizācijas sistēma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8.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Ekskavācijas iekārta: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8.1.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Ekskavācijas iekārtas vadība ar “džoistikiem”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lastRenderedPageBreak/>
              <w:t>8.2.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Izbīdāma ekskavācijas iekārtas kausa izlice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8.3.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Mehānisks ātrās kausu nomaiņas mehānisms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8.4.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Hidraulikas līniju izvadi darbam ar papildaprīkojumu (planēšanas kausu, āmuru)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8.5.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Rakšanas kauss ar zobiem, platums ne mazāk kā 60 cm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8.6.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Hidrauliski sagāžams planēšanas kauss, darba platums ne mazāk kā 120 cm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8.7.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Atbalsta stabilizatori aprīkoti ar drošības vārstiem un gumijas paliktņiem darbam uz asfalta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9.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Kabīne: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9.1.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Kabīnei jābūt aprīkotai ar gaisa kondicionēšanas sistēmu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9.2.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Tehnikai jābūt aprīkotai ar ražotāja uzstādītu attālinātās GPS, tehniskās diagnostikas un izlietotās degvielas uzskaites sistēmu. Bezmaksas pieeja – nodrošināta vismaz 60 mēnešus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10.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Garantija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10.1.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Ne mazāk kā 36 mēneši no tehnikas piegādes brīža vai 3000 motorstundas, atkarībā no tā, kas iestājas ātrāk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10.2.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Garantijas laikā plānotās tehniskās apkopes Piegādātājs nodrošina veikt Pasūtītāja norādītajā adresē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  <w:tr w:rsidR="0041544C" w:rsidTr="00635730">
        <w:tc>
          <w:tcPr>
            <w:tcW w:w="1683" w:type="dxa"/>
            <w:shd w:val="clear" w:color="auto" w:fill="auto"/>
          </w:tcPr>
          <w:p w:rsidR="0041544C" w:rsidRDefault="0041544C" w:rsidP="00635730">
            <w:r>
              <w:t>10.3.</w:t>
            </w:r>
          </w:p>
        </w:tc>
        <w:tc>
          <w:tcPr>
            <w:tcW w:w="4379" w:type="dxa"/>
            <w:shd w:val="clear" w:color="auto" w:fill="auto"/>
          </w:tcPr>
          <w:p w:rsidR="0041544C" w:rsidRDefault="0041544C" w:rsidP="00635730">
            <w:r>
              <w:t>Pēcgarantijas servisa nodrošinājums – ne tālāk kā 50 km no piegādes adreses Alūksnē.</w:t>
            </w:r>
          </w:p>
        </w:tc>
        <w:tc>
          <w:tcPr>
            <w:tcW w:w="3402" w:type="dxa"/>
            <w:shd w:val="clear" w:color="auto" w:fill="auto"/>
          </w:tcPr>
          <w:p w:rsidR="0041544C" w:rsidRDefault="0041544C" w:rsidP="00635730"/>
        </w:tc>
      </w:tr>
    </w:tbl>
    <w:p w:rsidR="0041544C" w:rsidRDefault="0041544C" w:rsidP="0041544C"/>
    <w:p w:rsidR="0041544C" w:rsidRDefault="0041544C" w:rsidP="0041544C"/>
    <w:p w:rsidR="0041544C" w:rsidRDefault="0041544C" w:rsidP="0041544C">
      <w:pPr>
        <w:ind w:firstLine="720"/>
      </w:pPr>
      <w:r>
        <w:t>Sagatavojot piedāvājumu un tehnisko specifikāciju, jāņem vērā LVS EN ISO 50001:2012 energopārvaldības sistēmas standarti, piedāvājot energoefektīvu tehniku.</w:t>
      </w:r>
    </w:p>
    <w:p w:rsidR="0041544C" w:rsidRDefault="0041544C" w:rsidP="0041544C"/>
    <w:p w:rsidR="0041544C" w:rsidRDefault="0041544C" w:rsidP="0041544C"/>
    <w:p w:rsidR="0041544C" w:rsidRDefault="0041544C" w:rsidP="0041544C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27"/>
        <w:gridCol w:w="6720"/>
      </w:tblGrid>
      <w:tr w:rsidR="0041544C" w:rsidRPr="00DD0D3A" w:rsidTr="00635730">
        <w:tc>
          <w:tcPr>
            <w:tcW w:w="2627" w:type="dxa"/>
          </w:tcPr>
          <w:p w:rsidR="0041544C" w:rsidRPr="00DD0D3A" w:rsidRDefault="0041544C" w:rsidP="00635730">
            <w:pPr>
              <w:snapToGrid w:val="0"/>
            </w:pPr>
            <w:r w:rsidRPr="00DD0D3A">
              <w:t>Pretendenta pārstāvis</w:t>
            </w:r>
          </w:p>
        </w:tc>
        <w:tc>
          <w:tcPr>
            <w:tcW w:w="6720" w:type="dxa"/>
            <w:tcBorders>
              <w:bottom w:val="single" w:sz="4" w:space="0" w:color="000000"/>
            </w:tcBorders>
          </w:tcPr>
          <w:p w:rsidR="0041544C" w:rsidRPr="00DD0D3A" w:rsidRDefault="0041544C" w:rsidP="00635730">
            <w:pPr>
              <w:snapToGrid w:val="0"/>
            </w:pPr>
          </w:p>
        </w:tc>
      </w:tr>
      <w:tr w:rsidR="0041544C" w:rsidRPr="00DD0D3A" w:rsidTr="00635730">
        <w:trPr>
          <w:cantSplit/>
        </w:trPr>
        <w:tc>
          <w:tcPr>
            <w:tcW w:w="2627" w:type="dxa"/>
          </w:tcPr>
          <w:p w:rsidR="0041544C" w:rsidRPr="00DD0D3A" w:rsidRDefault="0041544C" w:rsidP="00635730">
            <w:pPr>
              <w:snapToGrid w:val="0"/>
            </w:pPr>
          </w:p>
        </w:tc>
        <w:tc>
          <w:tcPr>
            <w:tcW w:w="6720" w:type="dxa"/>
          </w:tcPr>
          <w:p w:rsidR="0041544C" w:rsidRPr="00DD0D3A" w:rsidRDefault="0041544C" w:rsidP="00635730">
            <w:pPr>
              <w:snapToGrid w:val="0"/>
              <w:jc w:val="center"/>
            </w:pPr>
            <w:r w:rsidRPr="00DD0D3A">
              <w:t>(amats, vārds, uzvārds</w:t>
            </w:r>
            <w:r>
              <w:t>, paraksts</w:t>
            </w:r>
          </w:p>
        </w:tc>
      </w:tr>
    </w:tbl>
    <w:p w:rsidR="0041544C" w:rsidRDefault="0041544C" w:rsidP="0041544C"/>
    <w:p w:rsidR="0041544C" w:rsidRDefault="0041544C" w:rsidP="0041544C"/>
    <w:p w:rsidR="00376100" w:rsidRDefault="00376100">
      <w:bookmarkStart w:id="0" w:name="_GoBack"/>
      <w:bookmarkEnd w:id="0"/>
    </w:p>
    <w:sectPr w:rsidR="00376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4C"/>
    <w:rsid w:val="00376100"/>
    <w:rsid w:val="004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544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544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2018-04-23T06:52:00Z</dcterms:created>
  <dcterms:modified xsi:type="dcterms:W3CDTF">2018-04-23T06:53:00Z</dcterms:modified>
</cp:coreProperties>
</file>