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B8" w:rsidRPr="007770C8" w:rsidRDefault="00C86BB8" w:rsidP="00C86BB8">
      <w:pPr>
        <w:pStyle w:val="Virsraksts4"/>
        <w:pageBreakBefore/>
        <w:numPr>
          <w:ilvl w:val="0"/>
          <w:numId w:val="0"/>
        </w:numPr>
        <w:jc w:val="right"/>
        <w:rPr>
          <w:sz w:val="20"/>
          <w:szCs w:val="20"/>
          <w:lang w:val="lv-LV"/>
        </w:rPr>
      </w:pPr>
      <w:r w:rsidRPr="007770C8">
        <w:rPr>
          <w:sz w:val="20"/>
          <w:szCs w:val="20"/>
          <w:lang w:val="lv-LV"/>
        </w:rPr>
        <w:t>Pielikums Nr.1</w:t>
      </w:r>
    </w:p>
    <w:p w:rsidR="00C86BB8" w:rsidRDefault="00C86BB8" w:rsidP="00C86BB8">
      <w:pPr>
        <w:jc w:val="right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 xml:space="preserve">Iepirkuma  </w:t>
      </w:r>
    </w:p>
    <w:p w:rsidR="00C86BB8" w:rsidRDefault="00C86BB8" w:rsidP="00C86BB8">
      <w:pPr>
        <w:jc w:val="right"/>
        <w:rPr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>„Transportlīdzekļa iegāde finanšu līzingā”</w:t>
      </w:r>
    </w:p>
    <w:p w:rsidR="00C86BB8" w:rsidRDefault="00C86BB8" w:rsidP="00C86BB8">
      <w:pPr>
        <w:jc w:val="right"/>
        <w:rPr>
          <w:bCs/>
          <w:sz w:val="20"/>
          <w:szCs w:val="20"/>
          <w:lang w:val="lv-LV"/>
        </w:rPr>
      </w:pPr>
      <w:r w:rsidRPr="00F44C10">
        <w:rPr>
          <w:sz w:val="20"/>
          <w:szCs w:val="20"/>
          <w:lang w:val="lv-LV"/>
        </w:rPr>
        <w:t>ID Nr. Rūpe 2020/1</w:t>
      </w:r>
    </w:p>
    <w:p w:rsidR="00C86BB8" w:rsidRDefault="00C86BB8" w:rsidP="00C86BB8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right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>NOLIKUMAM</w:t>
      </w:r>
    </w:p>
    <w:p w:rsidR="00C86BB8" w:rsidRDefault="00C86BB8" w:rsidP="00C86BB8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both"/>
        <w:rPr>
          <w:bCs/>
          <w:sz w:val="20"/>
          <w:szCs w:val="20"/>
          <w:lang w:val="lv-LV"/>
        </w:rPr>
      </w:pPr>
    </w:p>
    <w:p w:rsidR="00C86BB8" w:rsidRDefault="00C86BB8" w:rsidP="00C86BB8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</w:rPr>
        <w:softHyphen/>
      </w:r>
      <w:r>
        <w:rPr>
          <w:i/>
          <w:iCs/>
          <w:sz w:val="20"/>
          <w:szCs w:val="20"/>
        </w:rPr>
        <w:t xml:space="preserve"> </w:t>
      </w:r>
    </w:p>
    <w:p w:rsidR="00C86BB8" w:rsidRDefault="00C86BB8" w:rsidP="00C86BB8">
      <w:pPr>
        <w:jc w:val="both"/>
        <w:rPr>
          <w:b/>
          <w:bCs/>
          <w:sz w:val="20"/>
          <w:szCs w:val="20"/>
          <w:lang w:val="lv-LV"/>
        </w:rPr>
      </w:pPr>
    </w:p>
    <w:p w:rsidR="00C86BB8" w:rsidRPr="00336B60" w:rsidRDefault="00C86BB8" w:rsidP="00C86BB8">
      <w:pPr>
        <w:jc w:val="center"/>
        <w:rPr>
          <w:bCs/>
          <w:lang w:val="lv-LV"/>
        </w:rPr>
      </w:pPr>
      <w:r w:rsidRPr="00336B60">
        <w:rPr>
          <w:bCs/>
          <w:lang w:val="lv-LV"/>
        </w:rPr>
        <w:t xml:space="preserve">Iepirkuma </w:t>
      </w:r>
    </w:p>
    <w:p w:rsidR="00C86BB8" w:rsidRDefault="00C86BB8" w:rsidP="00C86BB8">
      <w:pPr>
        <w:jc w:val="center"/>
        <w:rPr>
          <w:bCs/>
          <w:lang w:val="lv-LV"/>
        </w:rPr>
      </w:pPr>
      <w:r w:rsidRPr="00336B60">
        <w:rPr>
          <w:bCs/>
          <w:lang w:val="lv-LV"/>
        </w:rPr>
        <w:t>„Transportlīdzekļa iegāde finanšu līzingā”</w:t>
      </w:r>
      <w:r>
        <w:rPr>
          <w:bCs/>
          <w:lang w:val="lv-LV"/>
        </w:rPr>
        <w:t xml:space="preserve"> </w:t>
      </w:r>
    </w:p>
    <w:p w:rsidR="00C86BB8" w:rsidRDefault="00C86BB8" w:rsidP="00C86BB8">
      <w:pPr>
        <w:jc w:val="center"/>
        <w:rPr>
          <w:bCs/>
          <w:lang w:val="lv-LV"/>
        </w:rPr>
      </w:pPr>
      <w:r w:rsidRPr="00F44C10">
        <w:rPr>
          <w:bCs/>
          <w:lang w:val="lv-LV"/>
        </w:rPr>
        <w:t>ID Nr. Rūpe 2020/1</w:t>
      </w:r>
    </w:p>
    <w:p w:rsidR="00C86BB8" w:rsidRPr="0035115C" w:rsidRDefault="00C86BB8" w:rsidP="00C86BB8">
      <w:pPr>
        <w:jc w:val="center"/>
        <w:rPr>
          <w:b/>
          <w:bCs/>
          <w:lang w:val="lv-LV"/>
        </w:rPr>
      </w:pPr>
      <w:r w:rsidRPr="0035115C">
        <w:rPr>
          <w:b/>
          <w:bCs/>
          <w:lang w:val="lv-LV"/>
        </w:rPr>
        <w:t>Tehniskā specifikācija</w:t>
      </w:r>
    </w:p>
    <w:tbl>
      <w:tblPr>
        <w:tblW w:w="104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1"/>
        <w:gridCol w:w="3662"/>
      </w:tblGrid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b/>
                <w:bCs/>
                <w:sz w:val="20"/>
                <w:szCs w:val="20"/>
                <w:lang w:val="lv-LV" w:eastAsia="lv-LV"/>
              </w:rPr>
            </w:pPr>
            <w:r w:rsidRPr="004E3023">
              <w:rPr>
                <w:rFonts w:ascii="NewsGoth TL" w:hAnsi="NewsGoth TL"/>
                <w:b/>
                <w:bCs/>
                <w:sz w:val="20"/>
                <w:szCs w:val="20"/>
                <w:lang w:val="lv-LV" w:eastAsia="lv-LV"/>
              </w:rPr>
              <w:t>Parametrs</w:t>
            </w:r>
            <w:r>
              <w:rPr>
                <w:rFonts w:ascii="NewsGoth TL" w:hAnsi="NewsGoth TL"/>
                <w:b/>
                <w:bCs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b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b/>
                <w:sz w:val="20"/>
                <w:szCs w:val="20"/>
                <w:lang w:val="lv-LV" w:eastAsia="lv-LV"/>
              </w:rPr>
              <w:t>Prasības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b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b/>
                <w:sz w:val="20"/>
                <w:szCs w:val="20"/>
                <w:lang w:val="lv-LV" w:eastAsia="lv-LV"/>
              </w:rPr>
              <w:t>Piedāvājums</w:t>
            </w: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Transportlīdzekļu skaits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1, jauns transportlīdzeklis, ne vecāks kā 2020.gada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Transportlīdzekļa klase pēc Latvijas Auto Asociācijas klasifikatora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Kompaktā apvidus (</w:t>
            </w:r>
            <w:proofErr w:type="spellStart"/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Jc</w:t>
            </w:r>
            <w:proofErr w:type="spellEnd"/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Nobraukums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ne vairāk kā 50 km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Transportlīdzekļa garums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 xml:space="preserve">ne vairāk kā 4630 mm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Riteņu bāze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ne mazāk kā 2670 mm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Riteņu izmērs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ne vairāk kā 17 collu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Pilna masa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  <w:tab w:val="center" w:pos="4153"/>
                <w:tab w:val="right" w:pos="8306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Ne vairāk kā 2190 kg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  <w:tab w:val="center" w:pos="4153"/>
                <w:tab w:val="right" w:pos="8306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Sēdvietu skaits</w:t>
            </w:r>
          </w:p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(ieskaitot vadītāja vietu)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EE5B71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Motora darba tilpums, degvielas veids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no 1800 cm</w:t>
            </w:r>
            <w:r w:rsidRPr="001C325E">
              <w:rPr>
                <w:rFonts w:ascii="NewsGoth TL" w:hAnsi="NewsGoth TL"/>
                <w:sz w:val="20"/>
                <w:szCs w:val="20"/>
                <w:vertAlign w:val="superscript"/>
                <w:lang w:val="lv-LV" w:eastAsia="lv-LV"/>
              </w:rPr>
              <w:t>3</w:t>
            </w: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 xml:space="preserve"> līdz 1999 cm</w:t>
            </w:r>
            <w:r w:rsidRPr="001C325E">
              <w:rPr>
                <w:rFonts w:ascii="NewsGoth TL" w:hAnsi="NewsGoth TL"/>
                <w:sz w:val="20"/>
                <w:szCs w:val="20"/>
                <w:vertAlign w:val="superscript"/>
                <w:lang w:val="lv-LV" w:eastAsia="lv-LV"/>
              </w:rPr>
              <w:t xml:space="preserve">3 </w:t>
            </w: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 xml:space="preserve">, benzīna </w:t>
            </w:r>
            <w:proofErr w:type="spellStart"/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pašuzlādes</w:t>
            </w:r>
            <w:proofErr w:type="spellEnd"/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 xml:space="preserve"> hibrīds, jauda ne mazāk kā 110 </w:t>
            </w:r>
            <w:proofErr w:type="spellStart"/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kW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Pārnesumu kārbas tips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  <w:tab w:val="center" w:pos="4153"/>
                <w:tab w:val="right" w:pos="8306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 xml:space="preserve">Automātiskā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  <w:tab w:val="center" w:pos="4153"/>
                <w:tab w:val="right" w:pos="8306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rPr>
          <w:trHeight w:val="5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Dzenošo tiltu skaits, piedziņa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2, pastāvīgā četru riteņu piedziņa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proofErr w:type="spellStart"/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Klīrenss</w:t>
            </w:r>
            <w:proofErr w:type="spellEnd"/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Ne mazāks kā 210 mm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F05D69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F05D69">
              <w:rPr>
                <w:rFonts w:ascii="NewsGoth TL" w:hAnsi="NewsGoth TL"/>
                <w:sz w:val="20"/>
                <w:szCs w:val="20"/>
                <w:lang w:val="lv-LV" w:eastAsia="lv-LV"/>
              </w:rPr>
              <w:t xml:space="preserve">Krāsa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F05D69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F05D69">
              <w:rPr>
                <w:rFonts w:ascii="NewsGoth TL" w:hAnsi="NewsGoth TL"/>
                <w:sz w:val="20"/>
                <w:szCs w:val="20"/>
                <w:lang w:val="lv-LV" w:eastAsia="lv-LV"/>
              </w:rPr>
              <w:t>Jebkura, izņemot balta</w:t>
            </w:r>
            <w:r>
              <w:rPr>
                <w:rFonts w:ascii="NewsGoth TL" w:hAnsi="NewsGoth TL"/>
                <w:sz w:val="20"/>
                <w:szCs w:val="20"/>
                <w:lang w:val="lv-LV" w:eastAsia="lv-LV"/>
              </w:rPr>
              <w:t xml:space="preserve"> un spilgtie toņi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Kravas telpas ietilpība (ar nolaistiem aizmugurējiem sēdekļiem)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Ne mazāka kā 1770 l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EE5B71" w:rsidTr="00EA1509">
        <w:trPr>
          <w:trHeight w:val="10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Obligātais aprīkojums un prasības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ABS ar elektronisku bremzēšanas spēka sadali;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 xml:space="preserve">Bremzēšanas </w:t>
            </w:r>
            <w:proofErr w:type="spellStart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palīgssistēma</w:t>
            </w:r>
            <w:proofErr w:type="spellEnd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Vilces kontroles sistēma;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Automobiļa dinamiskās kontroles sistēma;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Stūres pastiprinātājs;</w:t>
            </w:r>
          </w:p>
          <w:p w:rsidR="00C86BB8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Stūres augstuma un dziļuma regulēšana;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Vasaras un ziemas riepu komplekts;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Vadītāja priekšējie un sānu drošības spilveni;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Vadītāja ceļu drošības spilvens;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Blakussēdētāja priekšējais un sānu drošības spilvens;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Aizdedzes atslēga ar tālvadības atslēgas sistēmu;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 xml:space="preserve">Signalizācija + papildus </w:t>
            </w:r>
            <w:proofErr w:type="spellStart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imobilaizers</w:t>
            </w:r>
            <w:proofErr w:type="spellEnd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,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 xml:space="preserve">Automātiskā </w:t>
            </w:r>
            <w:proofErr w:type="spellStart"/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divzonu</w:t>
            </w:r>
            <w:proofErr w:type="spellEnd"/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 xml:space="preserve"> klimata kontrole;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Regulējams vadītāja sēdeklis;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Elektriski regulējami, apsildāmi un nolokāmi sānu spoguļi;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 xml:space="preserve">Elektriski logu pacēlāji; 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lastRenderedPageBreak/>
              <w:t>BI-LED priekšējie lukturi ar automātisko augstuma regulēšanu;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1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Dinamiskās līkuma gaismas;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Adaptīvā kruīza kontrole;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Pirmssadursmes</w:t>
            </w:r>
            <w:proofErr w:type="spellEnd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 xml:space="preserve"> bremzēšanas kontrole un automātisko bremžu asistents;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Joslu maiņas asistents;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 xml:space="preserve">Neredzamās zonas brīdinājuma sistēma; 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Priekšējo sēdekļu apsilde;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Atpakaļskata</w:t>
            </w:r>
            <w:proofErr w:type="spellEnd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 xml:space="preserve"> kamera;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Bluetooth</w:t>
            </w:r>
            <w:proofErr w:type="spellEnd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 xml:space="preserve">Savienojamība ar </w:t>
            </w:r>
            <w:proofErr w:type="spellStart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Apple</w:t>
            </w:r>
            <w:proofErr w:type="spellEnd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Carplay</w:t>
            </w:r>
            <w:proofErr w:type="spellEnd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/</w:t>
            </w:r>
            <w:proofErr w:type="spellStart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Android</w:t>
            </w:r>
            <w:proofErr w:type="spellEnd"/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 xml:space="preserve"> Auto;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Lietus sensors;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Stacionārs sakabes āķis;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Dubļu sargi visiem riteņiem;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Ziemas un vasaras riepu komplekti;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Degvielas tvertne ar tilpumu ne mazāk kā 45 litri;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Degvielas patēriņš pēc NEDC– kombinētā ciklā ne vairāk kā 7,0 litri / 100 km;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color w:val="000000"/>
                <w:sz w:val="20"/>
                <w:szCs w:val="20"/>
                <w:lang w:val="lv-LV" w:eastAsia="lv-LV"/>
              </w:rPr>
              <w:t>CO2 izmešu daudzums pēc NEDC – atbilst EURO 6d normām, ne vairāk kā 155 g / km</w:t>
            </w:r>
          </w:p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ind w:left="12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Automašīnai jābūt aprīkotai ar avārijas trīsstūri, ugunsdzēšamo aparātu, aptieciņu un drošības vesti</w:t>
            </w:r>
            <w:r>
              <w:rPr>
                <w:rFonts w:ascii="NewsGoth TL" w:hAnsi="NewsGoth TL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  <w:tr w:rsidR="00C86BB8" w:rsidRPr="001C325E" w:rsidTr="00EA1509">
        <w:trPr>
          <w:trHeight w:val="3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B8" w:rsidRPr="001C325E" w:rsidRDefault="00C86BB8" w:rsidP="00EA1509">
            <w:pPr>
              <w:tabs>
                <w:tab w:val="left" w:pos="0"/>
              </w:tabs>
              <w:suppressAutoHyphens w:val="0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lastRenderedPageBreak/>
              <w:t>Ražotāja garantija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both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  <w:r w:rsidRPr="001C325E">
              <w:rPr>
                <w:rFonts w:ascii="NewsGoth TL" w:hAnsi="NewsGoth TL"/>
                <w:sz w:val="20"/>
                <w:szCs w:val="20"/>
                <w:lang w:val="lv-LV" w:eastAsia="lv-LV"/>
              </w:rPr>
              <w:t>Ne mazāk kā 3 gadi vai 100 000 km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B8" w:rsidRPr="001C325E" w:rsidRDefault="00C86BB8" w:rsidP="00EA1509">
            <w:pPr>
              <w:tabs>
                <w:tab w:val="left" w:pos="1344"/>
              </w:tabs>
              <w:suppressAutoHyphens w:val="0"/>
              <w:jc w:val="center"/>
              <w:rPr>
                <w:rFonts w:ascii="NewsGoth TL" w:hAnsi="NewsGoth TL"/>
                <w:sz w:val="20"/>
                <w:szCs w:val="20"/>
                <w:lang w:val="lv-LV" w:eastAsia="lv-LV"/>
              </w:rPr>
            </w:pPr>
          </w:p>
        </w:tc>
      </w:tr>
    </w:tbl>
    <w:p w:rsidR="00C86BB8" w:rsidRDefault="00C86BB8" w:rsidP="00C86BB8">
      <w:pPr>
        <w:tabs>
          <w:tab w:val="left" w:pos="426"/>
        </w:tabs>
        <w:jc w:val="both"/>
        <w:rPr>
          <w:b/>
          <w:bCs/>
          <w:sz w:val="20"/>
          <w:szCs w:val="20"/>
          <w:lang w:val="lv-LV"/>
        </w:rPr>
      </w:pPr>
    </w:p>
    <w:p w:rsidR="00C86BB8" w:rsidRDefault="00C86BB8" w:rsidP="00C86BB8">
      <w:pPr>
        <w:numPr>
          <w:ilvl w:val="3"/>
          <w:numId w:val="2"/>
        </w:numPr>
        <w:tabs>
          <w:tab w:val="clear" w:pos="540"/>
          <w:tab w:val="num" w:pos="709"/>
        </w:tabs>
        <w:suppressAutoHyphens w:val="0"/>
        <w:spacing w:line="276" w:lineRule="auto"/>
        <w:ind w:left="709" w:hanging="709"/>
        <w:jc w:val="both"/>
        <w:rPr>
          <w:lang w:val="lv-LV" w:eastAsia="lv-LV"/>
        </w:rPr>
      </w:pPr>
      <w:r w:rsidRPr="00586365">
        <w:rPr>
          <w:rFonts w:cs="Arial"/>
          <w:szCs w:val="20"/>
          <w:lang w:val="lv-LV" w:eastAsia="lv-LV"/>
        </w:rPr>
        <w:t>Garantijas noteikumiem ir jābūt nemainīgiem visā piedāvātajā garantijas perioda laikā.</w:t>
      </w:r>
      <w:r>
        <w:rPr>
          <w:rFonts w:cs="Arial"/>
          <w:szCs w:val="20"/>
          <w:lang w:val="lv-LV" w:eastAsia="lv-LV"/>
        </w:rPr>
        <w:t xml:space="preserve"> </w:t>
      </w:r>
      <w:r w:rsidRPr="002D2DE3">
        <w:rPr>
          <w:lang w:val="lv-LV"/>
        </w:rPr>
        <w:t>Pretendentiem ir jāiesniedz garantijas noteikumi</w:t>
      </w:r>
      <w:r>
        <w:rPr>
          <w:lang w:val="lv-LV"/>
        </w:rPr>
        <w:t xml:space="preserve"> </w:t>
      </w:r>
      <w:r w:rsidRPr="002D2DE3">
        <w:rPr>
          <w:lang w:val="lv-LV"/>
        </w:rPr>
        <w:t>latviešu valodā</w:t>
      </w:r>
      <w:r>
        <w:rPr>
          <w:lang w:val="lv-LV"/>
        </w:rPr>
        <w:t>.</w:t>
      </w:r>
    </w:p>
    <w:p w:rsidR="00C86BB8" w:rsidRPr="0056318D" w:rsidRDefault="00C86BB8" w:rsidP="00C86BB8">
      <w:pPr>
        <w:numPr>
          <w:ilvl w:val="3"/>
          <w:numId w:val="2"/>
        </w:numPr>
        <w:tabs>
          <w:tab w:val="clear" w:pos="540"/>
          <w:tab w:val="num" w:pos="709"/>
        </w:tabs>
        <w:suppressAutoHyphens w:val="0"/>
        <w:ind w:hanging="540"/>
        <w:jc w:val="both"/>
        <w:outlineLvl w:val="0"/>
        <w:rPr>
          <w:color w:val="000000"/>
          <w:lang w:val="x-none" w:eastAsia="en-US"/>
        </w:rPr>
      </w:pPr>
      <w:r w:rsidRPr="0056318D">
        <w:rPr>
          <w:color w:val="000000"/>
          <w:lang w:val="x-none" w:eastAsia="en-US"/>
        </w:rPr>
        <w:t>Apliecinām, ka automašīna ir pilnīgā braukšanas kārtībā gan tehniski, gan tiesiski.</w:t>
      </w:r>
    </w:p>
    <w:p w:rsidR="00C86BB8" w:rsidRPr="0056318D" w:rsidRDefault="00C86BB8" w:rsidP="00C86BB8">
      <w:pPr>
        <w:suppressAutoHyphens w:val="0"/>
        <w:jc w:val="both"/>
        <w:rPr>
          <w:color w:val="000000"/>
          <w:lang w:val="x-none" w:eastAsia="x-none"/>
        </w:rPr>
      </w:pPr>
    </w:p>
    <w:p w:rsidR="00C86BB8" w:rsidRPr="006D2EFA" w:rsidRDefault="00C86BB8" w:rsidP="00C86BB8">
      <w:pPr>
        <w:suppressAutoHyphens w:val="0"/>
        <w:jc w:val="both"/>
        <w:rPr>
          <w:i/>
          <w:color w:val="000000"/>
          <w:lang w:val="x-none" w:eastAsia="x-none"/>
        </w:rPr>
      </w:pPr>
      <w:r w:rsidRPr="006D2EFA">
        <w:rPr>
          <w:i/>
          <w:color w:val="000000"/>
          <w:lang w:val="x-none" w:eastAsia="x-none"/>
        </w:rPr>
        <w:t>(Pretendents var uzskaitīt bez tehniskajā specifikācijā norādītā aprīkojuma vēl papildus aprīkojumu, ja uzskata, ka tas ir būtiski. Pretendents drīkst pievienot bukletus, fotogrāfijas</w:t>
      </w:r>
      <w:r w:rsidRPr="006D2EFA">
        <w:rPr>
          <w:i/>
          <w:color w:val="000000"/>
          <w:lang w:val="lv-LV" w:eastAsia="x-none"/>
        </w:rPr>
        <w:t xml:space="preserve"> </w:t>
      </w:r>
      <w:r w:rsidRPr="006D2EFA">
        <w:rPr>
          <w:i/>
          <w:color w:val="000000"/>
          <w:lang w:val="x-none" w:eastAsia="x-none"/>
        </w:rPr>
        <w:t>un citus materiālus.)</w:t>
      </w:r>
    </w:p>
    <w:p w:rsidR="00C86BB8" w:rsidRDefault="00C86BB8" w:rsidP="00C86BB8">
      <w:pPr>
        <w:tabs>
          <w:tab w:val="left" w:pos="709"/>
        </w:tabs>
        <w:suppressAutoHyphens w:val="0"/>
        <w:spacing w:line="276" w:lineRule="auto"/>
        <w:jc w:val="both"/>
        <w:rPr>
          <w:lang w:val="lv-LV" w:eastAsia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30"/>
        <w:gridCol w:w="2630"/>
        <w:gridCol w:w="2631"/>
      </w:tblGrid>
      <w:tr w:rsidR="00C86BB8" w:rsidTr="00EA1509">
        <w:trPr>
          <w:trHeight w:val="73"/>
        </w:trPr>
        <w:tc>
          <w:tcPr>
            <w:tcW w:w="7891" w:type="dxa"/>
            <w:gridSpan w:val="3"/>
            <w:shd w:val="clear" w:color="auto" w:fill="auto"/>
          </w:tcPr>
          <w:p w:rsidR="00C86BB8" w:rsidRDefault="00C86BB8" w:rsidP="00EA1509">
            <w:pPr>
              <w:autoSpaceDE w:val="0"/>
              <w:snapToGrid w:val="0"/>
              <w:jc w:val="both"/>
              <w:rPr>
                <w:rFonts w:eastAsia="Calibri"/>
                <w:color w:val="000000"/>
                <w:lang w:val="lv-LV" w:eastAsia="lv-LV"/>
              </w:rPr>
            </w:pPr>
          </w:p>
        </w:tc>
      </w:tr>
      <w:tr w:rsidR="00C86BB8" w:rsidTr="00EA1509">
        <w:trPr>
          <w:trHeight w:val="90"/>
        </w:trPr>
        <w:tc>
          <w:tcPr>
            <w:tcW w:w="2630" w:type="dxa"/>
            <w:shd w:val="clear" w:color="auto" w:fill="auto"/>
          </w:tcPr>
          <w:p w:rsidR="00C86BB8" w:rsidRDefault="00C86BB8" w:rsidP="00EA1509">
            <w:pPr>
              <w:autoSpaceDE w:val="0"/>
              <w:jc w:val="both"/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  <w:t>_________________</w:t>
            </w:r>
          </w:p>
          <w:p w:rsidR="00C86BB8" w:rsidRDefault="00C86BB8" w:rsidP="00EA1509">
            <w:pPr>
              <w:autoSpaceDE w:val="0"/>
              <w:jc w:val="both"/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  <w:t xml:space="preserve">Amata nosaukums </w:t>
            </w:r>
          </w:p>
        </w:tc>
        <w:tc>
          <w:tcPr>
            <w:tcW w:w="2630" w:type="dxa"/>
            <w:shd w:val="clear" w:color="auto" w:fill="auto"/>
          </w:tcPr>
          <w:p w:rsidR="00C86BB8" w:rsidRDefault="00C86BB8" w:rsidP="00EA1509">
            <w:pPr>
              <w:autoSpaceDE w:val="0"/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</w:pPr>
          </w:p>
          <w:p w:rsidR="00C86BB8" w:rsidRDefault="00C86BB8" w:rsidP="00EA1509">
            <w:pPr>
              <w:autoSpaceDE w:val="0"/>
              <w:jc w:val="both"/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  <w:t xml:space="preserve">paraksts </w:t>
            </w:r>
          </w:p>
        </w:tc>
        <w:tc>
          <w:tcPr>
            <w:tcW w:w="2631" w:type="dxa"/>
            <w:shd w:val="clear" w:color="auto" w:fill="auto"/>
          </w:tcPr>
          <w:p w:rsidR="00C86BB8" w:rsidRDefault="00C86BB8" w:rsidP="00EA1509">
            <w:pPr>
              <w:autoSpaceDE w:val="0"/>
              <w:jc w:val="both"/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  <w:t>__________________</w:t>
            </w:r>
          </w:p>
          <w:p w:rsidR="00C86BB8" w:rsidRDefault="00C86BB8" w:rsidP="00EA1509">
            <w:pPr>
              <w:autoSpaceDE w:val="0"/>
              <w:jc w:val="both"/>
            </w:pPr>
            <w:r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  <w:t xml:space="preserve">Paraksta atšifrējums </w:t>
            </w:r>
          </w:p>
        </w:tc>
      </w:tr>
    </w:tbl>
    <w:p w:rsidR="00C86BB8" w:rsidRDefault="00C86BB8" w:rsidP="00C86BB8">
      <w:pPr>
        <w:pStyle w:val="Sarakstarindkopa"/>
        <w:rPr>
          <w:lang w:val="lv-LV" w:eastAsia="lv-LV"/>
        </w:rPr>
      </w:pPr>
    </w:p>
    <w:p w:rsidR="00783164" w:rsidRDefault="00783164">
      <w:bookmarkStart w:id="0" w:name="_GoBack"/>
      <w:bookmarkEnd w:id="0"/>
    </w:p>
    <w:sectPr w:rsidR="007831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sGoth TL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Virsraksts2"/>
      <w:lvlText w:val="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.%2.%3."/>
      <w:lvlJc w:val="left"/>
      <w:pPr>
        <w:tabs>
          <w:tab w:val="num" w:pos="720"/>
        </w:tabs>
        <w:ind w:left="1170" w:hanging="720"/>
      </w:pPr>
      <w:rPr>
        <w:rFonts w:ascii="Times New Roman" w:hAnsi="Times New Roman" w:cs="Times New Roman" w:hint="default"/>
        <w:b w:val="0"/>
        <w:i w:val="0"/>
        <w:sz w:val="24"/>
        <w:lang w:val="lv-LV"/>
      </w:rPr>
    </w:lvl>
    <w:lvl w:ilvl="3">
      <w:start w:val="1"/>
      <w:numFmt w:val="decimal"/>
      <w:pStyle w:val="Virsraksts4"/>
      <w:lvlText w:val="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" w15:restartNumberingAfterBreak="0">
    <w:nsid w:val="30CA7F8E"/>
    <w:multiLevelType w:val="multilevel"/>
    <w:tmpl w:val="A5A0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B8"/>
    <w:rsid w:val="00783164"/>
    <w:rsid w:val="00C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5D2A93-2E21-440E-8725-BB16ECBD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6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Virsraksts2">
    <w:name w:val="heading 2"/>
    <w:basedOn w:val="Parasts"/>
    <w:next w:val="Parasts"/>
    <w:link w:val="Virsraksts2Rakstz"/>
    <w:qFormat/>
    <w:rsid w:val="00C86BB8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color w:val="000000"/>
      <w:sz w:val="28"/>
      <w:szCs w:val="28"/>
      <w:lang w:val="x-none"/>
    </w:rPr>
  </w:style>
  <w:style w:type="paragraph" w:styleId="Virsraksts3">
    <w:name w:val="heading 3"/>
    <w:basedOn w:val="Parasts"/>
    <w:next w:val="Parasts"/>
    <w:link w:val="Virsraksts3Rakstz"/>
    <w:qFormat/>
    <w:rsid w:val="00C86BB8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C86BB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C86B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link w:val="Virsraksts6Rakstz"/>
    <w:qFormat/>
    <w:rsid w:val="00C86BB8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en-GB"/>
    </w:rPr>
  </w:style>
  <w:style w:type="paragraph" w:styleId="Virsraksts7">
    <w:name w:val="heading 7"/>
    <w:basedOn w:val="Parasts"/>
    <w:next w:val="Parasts"/>
    <w:link w:val="Virsraksts7Rakstz"/>
    <w:qFormat/>
    <w:rsid w:val="00C86BB8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Virsraksts8">
    <w:name w:val="heading 8"/>
    <w:basedOn w:val="Parasts"/>
    <w:next w:val="Parasts"/>
    <w:link w:val="Virsraksts8Rakstz"/>
    <w:qFormat/>
    <w:rsid w:val="00C86BB8"/>
    <w:pPr>
      <w:numPr>
        <w:ilvl w:val="7"/>
        <w:numId w:val="1"/>
      </w:numPr>
      <w:spacing w:before="240" w:after="60"/>
      <w:outlineLvl w:val="7"/>
    </w:pPr>
    <w:rPr>
      <w:i/>
      <w:iCs/>
      <w:lang w:val="en-GB"/>
    </w:rPr>
  </w:style>
  <w:style w:type="paragraph" w:styleId="Virsraksts9">
    <w:name w:val="heading 9"/>
    <w:basedOn w:val="Parasts"/>
    <w:next w:val="Parasts"/>
    <w:link w:val="Virsraksts9Rakstz"/>
    <w:qFormat/>
    <w:rsid w:val="00C86BB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6BB8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 w:eastAsia="zh-CN"/>
    </w:rPr>
  </w:style>
  <w:style w:type="character" w:customStyle="1" w:styleId="Virsraksts3Rakstz">
    <w:name w:val="Virsraksts 3 Rakstz."/>
    <w:basedOn w:val="Noklusjumarindkopasfonts"/>
    <w:link w:val="Virsraksts3"/>
    <w:rsid w:val="00C86BB8"/>
    <w:rPr>
      <w:rFonts w:ascii="Times New Roman" w:eastAsia="Times New Roman" w:hAnsi="Times New Roman" w:cs="Times New Roman"/>
      <w:b/>
      <w:bCs/>
      <w:sz w:val="26"/>
      <w:szCs w:val="26"/>
      <w:lang w:val="en-GB" w:eastAsia="zh-CN"/>
    </w:rPr>
  </w:style>
  <w:style w:type="character" w:customStyle="1" w:styleId="Virsraksts4Rakstz">
    <w:name w:val="Virsraksts 4 Rakstz."/>
    <w:basedOn w:val="Noklusjumarindkopasfonts"/>
    <w:link w:val="Virsraksts4"/>
    <w:rsid w:val="00C86BB8"/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character" w:customStyle="1" w:styleId="Virsraksts5Rakstz">
    <w:name w:val="Virsraksts 5 Rakstz."/>
    <w:basedOn w:val="Noklusjumarindkopasfonts"/>
    <w:link w:val="Virsraksts5"/>
    <w:rsid w:val="00C86BB8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zh-CN"/>
    </w:rPr>
  </w:style>
  <w:style w:type="character" w:customStyle="1" w:styleId="Virsraksts6Rakstz">
    <w:name w:val="Virsraksts 6 Rakstz."/>
    <w:basedOn w:val="Noklusjumarindkopasfonts"/>
    <w:link w:val="Virsraksts6"/>
    <w:rsid w:val="00C86BB8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Virsraksts7Rakstz">
    <w:name w:val="Virsraksts 7 Rakstz."/>
    <w:basedOn w:val="Noklusjumarindkopasfonts"/>
    <w:link w:val="Virsraksts7"/>
    <w:rsid w:val="00C86BB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Virsraksts8Rakstz">
    <w:name w:val="Virsraksts 8 Rakstz."/>
    <w:basedOn w:val="Noklusjumarindkopasfonts"/>
    <w:link w:val="Virsraksts8"/>
    <w:rsid w:val="00C86BB8"/>
    <w:rPr>
      <w:rFonts w:ascii="Times New Roman" w:eastAsia="Times New Roman" w:hAnsi="Times New Roman" w:cs="Times New Roman"/>
      <w:i/>
      <w:iCs/>
      <w:sz w:val="24"/>
      <w:szCs w:val="24"/>
      <w:lang w:val="en-GB" w:eastAsia="zh-CN"/>
    </w:rPr>
  </w:style>
  <w:style w:type="character" w:customStyle="1" w:styleId="Virsraksts9Rakstz">
    <w:name w:val="Virsraksts 9 Rakstz."/>
    <w:basedOn w:val="Noklusjumarindkopasfonts"/>
    <w:link w:val="Virsraksts9"/>
    <w:rsid w:val="00C86BB8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Default">
    <w:name w:val="Default"/>
    <w:rsid w:val="00C86BB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Sarakstarindkopa">
    <w:name w:val="List Paragraph"/>
    <w:aliases w:val="Normal bullet 2,Bullet list,H&amp;P List Paragraph,2,Saistīto dokumentu saraksts,Syle 1,Numurets,Strip"/>
    <w:basedOn w:val="Parasts"/>
    <w:link w:val="SarakstarindkopaRakstz"/>
    <w:uiPriority w:val="34"/>
    <w:qFormat/>
    <w:rsid w:val="00C86BB8"/>
    <w:pPr>
      <w:ind w:left="720"/>
      <w:contextualSpacing/>
    </w:pPr>
  </w:style>
  <w:style w:type="character" w:customStyle="1" w:styleId="SarakstarindkopaRakstz">
    <w:name w:val="Saraksta rindkopa Rakstz."/>
    <w:aliases w:val="Normal bullet 2 Rakstz.,Bullet list Rakstz.,H&amp;P List Paragraph Rakstz.,2 Rakstz.,Saistīto dokumentu saraksts Rakstz.,Syle 1 Rakstz.,Numurets Rakstz.,Strip Rakstz."/>
    <w:link w:val="Sarakstarindkopa"/>
    <w:uiPriority w:val="34"/>
    <w:qFormat/>
    <w:locked/>
    <w:rsid w:val="00C86BB8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2020-09-18T12:47:00Z</dcterms:created>
  <dcterms:modified xsi:type="dcterms:W3CDTF">2020-09-18T12:47:00Z</dcterms:modified>
</cp:coreProperties>
</file>